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Değerlendirme Raporu</w:t>
      </w:r>
    </w:p>
    <w:p>
      <w:r>
        <w:rPr>
          <w:i/>
        </w:rPr>
        <w:t>“Power Asymmetries in AI-Assisted Academic Writing and Publishing: A Critical Conceptual Framework”</w:t>
      </w:r>
    </w:p>
    <w:p>
      <w:r>
        <w:rPr>
          <w:b/>
        </w:rPr>
        <w:t>Hedef dergi: AI and Ethics (Springer Nature)</w:t>
      </w:r>
    </w:p>
    <w:p>
      <w:r>
        <w:rPr>
          <w:b/>
          <w:color w:val="4B1FA6"/>
          <w:sz w:val="26"/>
        </w:rPr>
        <w:t>0. Yöntem ve Şeffaflık Notu</w:t>
      </w:r>
    </w:p>
    <w:p>
      <w:r>
        <w:t>Bu rapor üç bileşenden oluşur: (A) editör personalarıyla yazım kılavuzu uyum incelemesi, (B) farklı disiplinlerden hakem personalarıyla akademik değerlendirme, (C) 50 kaynağın doğrulanması (halüsinasyon/künye hatası kontrolü). Personalar tek bir modelin uyguladığı yapılandırılmış uzman bakış açılarıdır; altlarındaki iş gerçektir ve doğrulanabilir kaynaklara dayanır.</w:t>
      </w:r>
    </w:p>
    <w:p>
      <w:r>
        <w:rPr>
          <w:b/>
          <w:color w:val="4B1FA6"/>
          <w:sz w:val="26"/>
        </w:rPr>
        <w:t>Bölüm A — Editöryal Panel (Yazım Kılavuzu Uyumu)</w:t>
      </w:r>
    </w:p>
    <w:p>
      <w:pPr>
        <w:pStyle w:val="ListBullet"/>
      </w:pPr>
      <w:r>
        <w:t>Editör 1 (Baş Editör): Kapsam uyumu yüksek; özgün katkı netleştirilmeli. Karar eğilimi: Major Revision.</w:t>
      </w:r>
    </w:p>
    <w:p>
      <w:pPr>
        <w:pStyle w:val="ListBullet"/>
      </w:pPr>
      <w:r>
        <w:t>Editör 2 (Sorumlu Editör): Yöntem bölümü güçlendirilmeli; “neden bu altı eksen?” gerekçesi açıklanmalı.</w:t>
      </w:r>
    </w:p>
    <w:p>
      <w:pPr>
        <w:pStyle w:val="ListBullet"/>
      </w:pPr>
      <w:r>
        <w:t>Editör 3 (Etik/Bütünlük): Çift-kör uyum zorunlu — yazar bilgileri ayrı başlık sayfasına taşınmalı. YZ kullanım beyanı Yöntem’de belgelenmeli.</w:t>
      </w:r>
    </w:p>
    <w:p>
      <w:pPr>
        <w:pStyle w:val="ListBullet"/>
      </w:pPr>
      <w:r>
        <w:t>Editör 4 (Üretim): Referans stili dergiye dönüştürülmeli (Springer Basic, numaralı [1]).</w:t>
      </w:r>
    </w:p>
    <w:p>
      <w:r>
        <w:rPr>
          <w:b/>
          <w:color w:val="4B1FA6"/>
          <w:sz w:val="26"/>
        </w:rPr>
        <w:t>Bölüm B — Hakem Paneli (Akademik Değerlendirme)</w:t>
      </w:r>
    </w:p>
    <w:p>
      <w:pPr>
        <w:pStyle w:val="ListBullet"/>
      </w:pPr>
      <w:r>
        <w:t>Hakem 1 (Felsefe/Etik): Kavramsal çerçeve güçlü; “eşitleyici mi/yoğunlaştırıcı mı” gerilimi dengelenmeli.</w:t>
      </w:r>
    </w:p>
    <w:p>
      <w:pPr>
        <w:pStyle w:val="ListBullet"/>
      </w:pPr>
      <w:r>
        <w:t>Hakem 2 (Bilişim/STS): Ampirik dayanak yer yer tek yönlü; karşı kanıtlar sunulmalı.</w:t>
      </w:r>
    </w:p>
    <w:p>
      <w:pPr>
        <w:pStyle w:val="ListBullet"/>
      </w:pPr>
      <w:r>
        <w:t>Hakem 3 (Yayıncılık): Politika önerileri uygulanabilirlik açısından somutlaştırılmalı.</w:t>
      </w:r>
    </w:p>
    <w:p>
      <w:pPr>
        <w:pStyle w:val="ListBullet"/>
      </w:pPr>
      <w:r>
        <w:t>Hakem 4 (Yöntem): Altı eksenin kodlama gerekçesi ve sınırlılıklar bölümü eklenmeli.</w:t>
      </w:r>
    </w:p>
    <w:p>
      <w:r>
        <w:rPr>
          <w:b/>
          <w:color w:val="4B1FA6"/>
          <w:sz w:val="26"/>
        </w:rPr>
        <w:t>Bölüm C — Kaynak Doğrulama (50 künye)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Durum</w:t>
            </w:r>
          </w:p>
        </w:tc>
        <w:tc>
          <w:tcPr>
            <w:tcW w:type="dxa" w:w="2880"/>
          </w:tcPr>
          <w:p>
            <w:r>
              <w:t>Adet</w:t>
            </w:r>
          </w:p>
        </w:tc>
        <w:tc>
          <w:tcPr>
            <w:tcW w:type="dxa" w:w="2880"/>
          </w:tcPr>
          <w:p>
            <w:r>
              <w:t>Not</w:t>
            </w:r>
          </w:p>
        </w:tc>
      </w:tr>
      <w:tr>
        <w:tc>
          <w:tcPr>
            <w:tcW w:type="dxa" w:w="2880"/>
          </w:tcPr>
          <w:p>
            <w:r>
              <w:t>Doğrulandı</w:t>
            </w:r>
          </w:p>
        </w:tc>
        <w:tc>
          <w:tcPr>
            <w:tcW w:type="dxa" w:w="2880"/>
          </w:tcPr>
          <w:p>
            <w:r>
              <w:t>46</w:t>
            </w:r>
          </w:p>
        </w:tc>
        <w:tc>
          <w:tcPr>
            <w:tcW w:type="dxa" w:w="2880"/>
          </w:tcPr>
          <w:p>
            <w:r>
              <w:t>Yayıncı/DOI kaydıyla eşleşti</w:t>
            </w:r>
          </w:p>
        </w:tc>
      </w:tr>
      <w:tr>
        <w:tc>
          <w:tcPr>
            <w:tcW w:type="dxa" w:w="2880"/>
          </w:tcPr>
          <w:p>
            <w:r>
              <w:t>Künye düzeltmesi</w:t>
            </w:r>
          </w:p>
        </w:tc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Cilt/sayfa/yıl tutarsızlığı</w:t>
            </w:r>
          </w:p>
        </w:tc>
      </w:tr>
      <w:tr>
        <w:tc>
          <w:tcPr>
            <w:tcW w:type="dxa" w:w="2880"/>
          </w:tcPr>
          <w:p>
            <w:r>
              <w:t>Bulunamadı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DOI çözülmedi — kontrol edilmeli</w:t>
            </w:r>
          </w:p>
        </w:tc>
      </w:tr>
    </w:tbl>
    <w:p>
      <w:r>
        <w:rPr>
          <w:b/>
          <w:color w:val="4B1FA6"/>
          <w:sz w:val="26"/>
        </w:rPr>
        <w:t>Özet Karar</w:t>
      </w:r>
    </w:p>
    <w:p>
      <w:r>
        <w:t>Genel eğilim: Major Revision. Masa-reddi riski düşük-orta. Yukarıdaki maddeler uygulandığında AI and Ethics için gönderime hazır hâle gelir.</w:t>
      </w:r>
    </w:p>
    <w:p>
      <w:r>
        <w:rPr>
          <w:i/>
          <w:color w:val="888888"/>
          <w:sz w:val="16"/>
        </w:rPr>
        <w:t>Peerfect — örnek çıktıdır; gerçek bir makaleden üretilmiştir. Kabul garantisi değildir.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